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FE3FC" w14:textId="77777777" w:rsidR="005C1861" w:rsidRPr="007D7C88" w:rsidRDefault="005C1861" w:rsidP="005C1861">
      <w:pPr>
        <w:rPr>
          <w:rFonts w:cs="Calibri"/>
          <w:lang w:val="de-AT"/>
        </w:rPr>
      </w:pPr>
      <w:r w:rsidRPr="007D7C88">
        <w:rPr>
          <w:rFonts w:cs="Calibri"/>
          <w:u w:val="single"/>
          <w:lang w:val="de-AT"/>
        </w:rPr>
        <w:t>Presseinformation</w:t>
      </w:r>
      <w:r w:rsidRPr="007D7C88">
        <w:rPr>
          <w:rFonts w:cs="Calibri"/>
          <w:u w:val="single"/>
          <w:lang w:val="de-AT"/>
        </w:rPr>
        <w:br/>
      </w:r>
      <w:r w:rsidRPr="007D7C88">
        <w:rPr>
          <w:rFonts w:cs="Calibri"/>
          <w:lang w:val="de-AT"/>
        </w:rPr>
        <w:t>Ludwig Boltzmann Gesellschaft</w:t>
      </w:r>
    </w:p>
    <w:p w14:paraId="55E4560B" w14:textId="7AB888F3" w:rsidR="00097628" w:rsidRPr="00097628" w:rsidRDefault="00097628" w:rsidP="00097628">
      <w:pPr>
        <w:rPr>
          <w:rFonts w:cs="Calibri"/>
          <w:b/>
          <w:sz w:val="32"/>
          <w:lang w:val="de-AT"/>
        </w:rPr>
      </w:pPr>
      <w:r w:rsidRPr="00097628">
        <w:rPr>
          <w:b/>
          <w:sz w:val="32"/>
          <w:szCs w:val="32"/>
          <w:lang w:val="de-AT"/>
        </w:rPr>
        <w:t>LBG und BMBWF unterzeichnen erstmals Leistungsvereinbarung</w:t>
      </w:r>
    </w:p>
    <w:p w14:paraId="441C0BE6" w14:textId="59E6A835" w:rsidR="00097628" w:rsidRPr="00C44913" w:rsidRDefault="008B6F9C" w:rsidP="00097628">
      <w:pPr>
        <w:rPr>
          <w:b/>
          <w:lang w:val="de-AT"/>
        </w:rPr>
      </w:pPr>
      <w:r w:rsidRPr="00F02475">
        <w:rPr>
          <w:b/>
          <w:lang w:val="de-AT"/>
        </w:rPr>
        <w:t xml:space="preserve">Finanzierung </w:t>
      </w:r>
      <w:r w:rsidR="001A2767" w:rsidRPr="00F02475">
        <w:rPr>
          <w:b/>
          <w:lang w:val="de-AT"/>
        </w:rPr>
        <w:t>für</w:t>
      </w:r>
      <w:r w:rsidR="008F7BBE" w:rsidRPr="00F02475">
        <w:rPr>
          <w:b/>
          <w:lang w:val="de-AT"/>
        </w:rPr>
        <w:t xml:space="preserve"> </w:t>
      </w:r>
      <w:r w:rsidR="00097628" w:rsidRPr="00F02475">
        <w:rPr>
          <w:b/>
          <w:lang w:val="de-AT"/>
        </w:rPr>
        <w:t>Ludwig Boltzmann Gesellschaft</w:t>
      </w:r>
      <w:r w:rsidR="008F7BBE" w:rsidRPr="00F02475">
        <w:rPr>
          <w:b/>
          <w:lang w:val="de-AT"/>
        </w:rPr>
        <w:t xml:space="preserve"> mit verstärktem</w:t>
      </w:r>
      <w:r w:rsidR="00097628" w:rsidRPr="00F02475">
        <w:rPr>
          <w:b/>
          <w:lang w:val="de-AT"/>
        </w:rPr>
        <w:t xml:space="preserve"> Fokus auf Medizin, </w:t>
      </w:r>
      <w:r w:rsidR="0099168C" w:rsidRPr="00F02475">
        <w:rPr>
          <w:b/>
          <w:lang w:val="de-AT"/>
        </w:rPr>
        <w:t xml:space="preserve">neuen </w:t>
      </w:r>
      <w:r w:rsidR="00097628" w:rsidRPr="00F02475">
        <w:rPr>
          <w:b/>
          <w:lang w:val="de-AT"/>
        </w:rPr>
        <w:t>Institute</w:t>
      </w:r>
      <w:r w:rsidR="0099168C" w:rsidRPr="00F02475">
        <w:rPr>
          <w:b/>
          <w:lang w:val="de-AT"/>
        </w:rPr>
        <w:t>n</w:t>
      </w:r>
      <w:r w:rsidR="008F7BBE" w:rsidRPr="00F02475">
        <w:rPr>
          <w:b/>
          <w:lang w:val="de-AT"/>
        </w:rPr>
        <w:t xml:space="preserve"> und </w:t>
      </w:r>
      <w:r w:rsidR="00097628" w:rsidRPr="00F02475">
        <w:rPr>
          <w:b/>
          <w:lang w:val="de-AT"/>
        </w:rPr>
        <w:t>Förderprogramm für klinische Forschung</w:t>
      </w:r>
      <w:r w:rsidR="00F02475" w:rsidRPr="00F02475">
        <w:rPr>
          <w:b/>
          <w:lang w:val="de-AT"/>
        </w:rPr>
        <w:t xml:space="preserve"> </w:t>
      </w:r>
      <w:r w:rsidR="00F02475">
        <w:rPr>
          <w:b/>
          <w:lang w:val="de-AT"/>
        </w:rPr>
        <w:t>fixiert.</w:t>
      </w:r>
    </w:p>
    <w:p w14:paraId="092BB9E1" w14:textId="7FD6756B" w:rsidR="00D833A2" w:rsidRDefault="00097628" w:rsidP="00D833A2">
      <w:pPr>
        <w:rPr>
          <w:lang w:val="de-AT"/>
        </w:rPr>
      </w:pPr>
      <w:r w:rsidRPr="00097628">
        <w:rPr>
          <w:i/>
          <w:lang w:val="de-AT"/>
        </w:rPr>
        <w:t>Wien, 8.7.2022.</w:t>
      </w:r>
      <w:r w:rsidRPr="00097628">
        <w:rPr>
          <w:lang w:val="de-AT"/>
        </w:rPr>
        <w:t xml:space="preserve"> </w:t>
      </w:r>
      <w:r w:rsidR="008B314F" w:rsidRPr="00097628">
        <w:rPr>
          <w:lang w:val="de-AT"/>
        </w:rPr>
        <w:t xml:space="preserve">Wissenschaftsminister Martin Polaschek, LBG-Präsidentin Freyja-Maria Smolle-Jüttner sowie LBG-Vizepräsident Georg Winckler unterzeichneten gestern die erste Leistungsvereinbarung zwischen der Ludwig Boltzmann Gesellschaft (LBG) und </w:t>
      </w:r>
      <w:r w:rsidR="008B314F">
        <w:rPr>
          <w:lang w:val="de-AT"/>
        </w:rPr>
        <w:t>der Republik Österreich</w:t>
      </w:r>
      <w:r w:rsidR="003E2F88">
        <w:rPr>
          <w:lang w:val="de-AT"/>
        </w:rPr>
        <w:t>. Der LBG stehen damit f</w:t>
      </w:r>
      <w:r w:rsidR="008B314F" w:rsidRPr="00097628">
        <w:rPr>
          <w:lang w:val="de-AT"/>
        </w:rPr>
        <w:t>ür den Zeitraum 2022-23</w:t>
      </w:r>
      <w:r w:rsidR="003E2F88">
        <w:rPr>
          <w:lang w:val="de-DE"/>
        </w:rPr>
        <w:t xml:space="preserve"> insgesamt 18,15 Mio. Euro für innovative, gesellschaftlich relevante Forschung </w:t>
      </w:r>
      <w:r w:rsidR="00A77E98">
        <w:rPr>
          <w:lang w:val="de-DE"/>
        </w:rPr>
        <w:t>zur Verfügung</w:t>
      </w:r>
      <w:r w:rsidR="00FA307C">
        <w:rPr>
          <w:lang w:val="de-DE"/>
        </w:rPr>
        <w:t xml:space="preserve">. </w:t>
      </w:r>
      <w:r w:rsidR="00D833A2">
        <w:rPr>
          <w:lang w:val="de-DE"/>
        </w:rPr>
        <w:t xml:space="preserve">Zusätzlich wurde </w:t>
      </w:r>
      <w:r w:rsidR="00FA307C">
        <w:rPr>
          <w:lang w:val="de-DE"/>
        </w:rPr>
        <w:t>mit einem</w:t>
      </w:r>
      <w:r w:rsidR="00D833A2">
        <w:rPr>
          <w:lang w:val="de-DE"/>
        </w:rPr>
        <w:t xml:space="preserve"> Abwicklungsvertrag </w:t>
      </w:r>
      <w:r w:rsidR="00FA307C">
        <w:rPr>
          <w:lang w:val="de-DE"/>
        </w:rPr>
        <w:t xml:space="preserve">ein </w:t>
      </w:r>
      <w:r w:rsidR="00BB595D" w:rsidRPr="00097628">
        <w:rPr>
          <w:lang w:val="de-AT"/>
        </w:rPr>
        <w:t>Förderprogramm</w:t>
      </w:r>
      <w:r w:rsidR="00FA307C">
        <w:rPr>
          <w:lang w:val="de-AT"/>
        </w:rPr>
        <w:t xml:space="preserve"> ins Leben gerufen:</w:t>
      </w:r>
      <w:r w:rsidR="00BB595D">
        <w:rPr>
          <w:lang w:val="de-DE"/>
        </w:rPr>
        <w:t xml:space="preserve"> Mit den </w:t>
      </w:r>
      <w:r w:rsidR="009A7220">
        <w:rPr>
          <w:lang w:val="de-DE"/>
        </w:rPr>
        <w:t xml:space="preserve">neuen </w:t>
      </w:r>
      <w:r w:rsidR="00D833A2">
        <w:rPr>
          <w:lang w:val="de-DE"/>
        </w:rPr>
        <w:t>„</w:t>
      </w:r>
      <w:r w:rsidR="00D833A2" w:rsidRPr="00763B85">
        <w:rPr>
          <w:lang w:val="de-DE"/>
        </w:rPr>
        <w:t>Klinische</w:t>
      </w:r>
      <w:r w:rsidR="00D833A2">
        <w:rPr>
          <w:lang w:val="de-DE"/>
        </w:rPr>
        <w:t>n</w:t>
      </w:r>
      <w:r w:rsidR="00D833A2" w:rsidRPr="00763B85">
        <w:rPr>
          <w:lang w:val="de-DE"/>
        </w:rPr>
        <w:t xml:space="preserve"> Forschungsgruppen</w:t>
      </w:r>
      <w:r w:rsidR="00D833A2">
        <w:rPr>
          <w:lang w:val="de-DE"/>
        </w:rPr>
        <w:t>“ (KFG)</w:t>
      </w:r>
      <w:r w:rsidR="00BB595D">
        <w:rPr>
          <w:lang w:val="de-DE"/>
        </w:rPr>
        <w:t xml:space="preserve"> </w:t>
      </w:r>
      <w:r w:rsidR="003D6D5D">
        <w:rPr>
          <w:lang w:val="de-DE"/>
        </w:rPr>
        <w:t>soll</w:t>
      </w:r>
      <w:r w:rsidR="00BB595D">
        <w:rPr>
          <w:lang w:val="de-DE"/>
        </w:rPr>
        <w:t xml:space="preserve"> die </w:t>
      </w:r>
      <w:r w:rsidR="00D833A2" w:rsidRPr="00097628">
        <w:rPr>
          <w:lang w:val="de-AT"/>
        </w:rPr>
        <w:t xml:space="preserve">Forschung an </w:t>
      </w:r>
      <w:r w:rsidR="00013033">
        <w:rPr>
          <w:lang w:val="de-AT"/>
        </w:rPr>
        <w:t xml:space="preserve">den </w:t>
      </w:r>
      <w:r w:rsidR="00D833A2" w:rsidRPr="00097628">
        <w:rPr>
          <w:lang w:val="de-AT"/>
        </w:rPr>
        <w:t>Medizinischen Universitäten Österreich</w:t>
      </w:r>
      <w:r w:rsidR="00AC1738">
        <w:rPr>
          <w:lang w:val="de-AT"/>
        </w:rPr>
        <w:t>s</w:t>
      </w:r>
      <w:r w:rsidR="0083070F">
        <w:rPr>
          <w:lang w:val="de-AT"/>
        </w:rPr>
        <w:t xml:space="preserve"> weiter</w:t>
      </w:r>
      <w:r w:rsidR="00D833A2" w:rsidRPr="00097628">
        <w:rPr>
          <w:lang w:val="de-AT"/>
        </w:rPr>
        <w:t xml:space="preserve"> vorangetrieben</w:t>
      </w:r>
      <w:r w:rsidR="003D6D5D">
        <w:rPr>
          <w:lang w:val="de-AT"/>
        </w:rPr>
        <w:t xml:space="preserve"> werden</w:t>
      </w:r>
      <w:r w:rsidR="00D833A2" w:rsidRPr="00097628">
        <w:rPr>
          <w:lang w:val="de-AT"/>
        </w:rPr>
        <w:t>.</w:t>
      </w:r>
      <w:r w:rsidR="0047590A">
        <w:rPr>
          <w:lang w:val="de-AT"/>
        </w:rPr>
        <w:t xml:space="preserve"> </w:t>
      </w:r>
    </w:p>
    <w:p w14:paraId="5EBBFB89" w14:textId="4598C0A9" w:rsidR="008D4028" w:rsidRDefault="008D4028" w:rsidP="00E726A8">
      <w:pPr>
        <w:rPr>
          <w:i/>
          <w:lang w:val="de-DE"/>
        </w:rPr>
      </w:pPr>
      <w:r w:rsidRPr="008D4028">
        <w:rPr>
          <w:i/>
          <w:lang w:val="de-DE"/>
        </w:rPr>
        <w:t>„Durch die erste Leistungsvereinbarung wird die Ludwig Boltzmann Gesellschaft klar gestärkt und wir erhöhen das Budget um über ein Viertel. Wir setzen dabei aber auch einen weiteren Meilenstein: es wird erstmals ein Förderprogramm für klinische Forschungsgruppen fixiert. Damit unterstützen wir akademische kl</w:t>
      </w:r>
      <w:r>
        <w:rPr>
          <w:i/>
          <w:lang w:val="de-DE"/>
        </w:rPr>
        <w:t>inische Forschung in Österreich</w:t>
      </w:r>
      <w:r w:rsidRPr="008D4028">
        <w:rPr>
          <w:i/>
          <w:lang w:val="de-DE"/>
        </w:rPr>
        <w:t xml:space="preserve">. Das ist ein wichtiger Schritt, der die Forschungslandschaft in Österreich noch breiter aufstellt“, so Bildungs-, Wissenschafts- und Forschungsminister Martin Polaschek. </w:t>
      </w:r>
    </w:p>
    <w:p w14:paraId="29DEA742" w14:textId="1B95D93F" w:rsidR="00E726A8" w:rsidRPr="00036B03" w:rsidRDefault="00E726A8" w:rsidP="00E726A8">
      <w:pPr>
        <w:rPr>
          <w:lang w:val="de-DE"/>
        </w:rPr>
      </w:pPr>
      <w:r w:rsidRPr="009E7FA7">
        <w:rPr>
          <w:i/>
          <w:lang w:val="de-DE"/>
        </w:rPr>
        <w:t xml:space="preserve">„Wir freuen uns sehr, dass </w:t>
      </w:r>
      <w:r w:rsidR="003F44EF">
        <w:rPr>
          <w:i/>
          <w:lang w:val="de-DE"/>
        </w:rPr>
        <w:t xml:space="preserve">wir </w:t>
      </w:r>
      <w:r>
        <w:rPr>
          <w:i/>
          <w:lang w:val="de-DE"/>
        </w:rPr>
        <w:t>mit der</w:t>
      </w:r>
      <w:r w:rsidRPr="009E7FA7">
        <w:rPr>
          <w:i/>
          <w:lang w:val="de-DE"/>
        </w:rPr>
        <w:t xml:space="preserve"> Unterzeichnung</w:t>
      </w:r>
      <w:r w:rsidR="00D833A2">
        <w:rPr>
          <w:i/>
          <w:lang w:val="de-DE"/>
        </w:rPr>
        <w:t xml:space="preserve"> </w:t>
      </w:r>
      <w:r w:rsidR="00477A64">
        <w:rPr>
          <w:i/>
          <w:lang w:val="de-DE"/>
        </w:rPr>
        <w:t>dieser</w:t>
      </w:r>
      <w:r w:rsidR="00D833A2">
        <w:rPr>
          <w:i/>
          <w:lang w:val="de-DE"/>
        </w:rPr>
        <w:t xml:space="preserve"> Vereinbarungen </w:t>
      </w:r>
      <w:r w:rsidR="00FD6C99">
        <w:rPr>
          <w:i/>
          <w:lang w:val="de-DE"/>
        </w:rPr>
        <w:t>unsere</w:t>
      </w:r>
      <w:r w:rsidR="003F44EF" w:rsidRPr="009E7FA7">
        <w:rPr>
          <w:i/>
          <w:lang w:val="de-DE"/>
        </w:rPr>
        <w:t xml:space="preserve"> </w:t>
      </w:r>
      <w:r w:rsidR="00946104">
        <w:rPr>
          <w:i/>
          <w:lang w:val="de-DE"/>
        </w:rPr>
        <w:t xml:space="preserve">Arbeit fortführen und die seit 2020 </w:t>
      </w:r>
      <w:r w:rsidR="003F44EF">
        <w:rPr>
          <w:i/>
          <w:lang w:val="de-DE"/>
        </w:rPr>
        <w:t>geplante</w:t>
      </w:r>
      <w:r w:rsidR="003F44EF" w:rsidRPr="009E7FA7">
        <w:rPr>
          <w:i/>
          <w:lang w:val="de-DE"/>
        </w:rPr>
        <w:t xml:space="preserve"> Neuausrichtung </w:t>
      </w:r>
      <w:r w:rsidR="003F44EF">
        <w:rPr>
          <w:i/>
          <w:lang w:val="de-DE"/>
        </w:rPr>
        <w:t xml:space="preserve">endlich </w:t>
      </w:r>
      <w:r w:rsidR="000B3BA9">
        <w:rPr>
          <w:i/>
          <w:lang w:val="de-DE"/>
        </w:rPr>
        <w:t>umsetzen</w:t>
      </w:r>
      <w:r w:rsidR="003F44EF">
        <w:rPr>
          <w:i/>
          <w:lang w:val="de-DE"/>
        </w:rPr>
        <w:t xml:space="preserve"> können</w:t>
      </w:r>
      <w:r w:rsidRPr="009E7FA7">
        <w:rPr>
          <w:i/>
          <w:lang w:val="de-DE"/>
        </w:rPr>
        <w:t xml:space="preserve">. Durch die inhaltliche Präzisierung auf Gesundheitswissenschaften können wir </w:t>
      </w:r>
      <w:r w:rsidR="0045147A">
        <w:rPr>
          <w:i/>
          <w:lang w:val="de-DE"/>
        </w:rPr>
        <w:t>unsere</w:t>
      </w:r>
      <w:r w:rsidR="0049697B">
        <w:rPr>
          <w:i/>
          <w:lang w:val="de-DE"/>
        </w:rPr>
        <w:t xml:space="preserve"> Stärken</w:t>
      </w:r>
      <w:r w:rsidRPr="009E7FA7">
        <w:rPr>
          <w:i/>
          <w:lang w:val="de-DE"/>
        </w:rPr>
        <w:t xml:space="preserve"> in diesem Bereich voll nutzen und eine</w:t>
      </w:r>
      <w:r>
        <w:rPr>
          <w:i/>
          <w:lang w:val="de-DE"/>
        </w:rPr>
        <w:t xml:space="preserve"> weitere</w:t>
      </w:r>
      <w:r w:rsidRPr="009E7FA7">
        <w:rPr>
          <w:i/>
          <w:lang w:val="de-DE"/>
        </w:rPr>
        <w:t xml:space="preserve"> Professionalisierung und Qualitätssteigerung erzielen“,</w:t>
      </w:r>
      <w:r>
        <w:rPr>
          <w:lang w:val="de-DE"/>
        </w:rPr>
        <w:t xml:space="preserve"> </w:t>
      </w:r>
      <w:r>
        <w:rPr>
          <w:lang w:val="de-AT"/>
        </w:rPr>
        <w:t>so</w:t>
      </w:r>
      <w:r w:rsidRPr="00097628">
        <w:rPr>
          <w:lang w:val="de-AT"/>
        </w:rPr>
        <w:t xml:space="preserve"> Freyja-Maria Smolle-Jüttner</w:t>
      </w:r>
      <w:r>
        <w:rPr>
          <w:lang w:val="de-AT"/>
        </w:rPr>
        <w:t>.</w:t>
      </w:r>
      <w:r w:rsidR="00C52A0B">
        <w:rPr>
          <w:lang w:val="de-AT"/>
        </w:rPr>
        <w:t xml:space="preserve"> </w:t>
      </w:r>
      <w:r w:rsidR="00137E12" w:rsidRPr="005F523D">
        <w:rPr>
          <w:i/>
          <w:lang w:val="de-AT"/>
        </w:rPr>
        <w:t>„Besonders mit der in Österreich einzigartigen Klinischen Forschungsgruppe schaffen wir Raum für wegweisende Innovationen im Bereich der Medizin. Der Forschungsstandort wird damit in einem der bedeutendsten Zukunftsfelder gestärkt.</w:t>
      </w:r>
      <w:r w:rsidR="005F523D" w:rsidRPr="005F523D">
        <w:rPr>
          <w:i/>
          <w:lang w:val="de-AT"/>
        </w:rPr>
        <w:t>“</w:t>
      </w:r>
    </w:p>
    <w:p w14:paraId="7DA58C88" w14:textId="5351B2DB" w:rsidR="00FB2B14" w:rsidRPr="00A04FCF" w:rsidRDefault="00FB2B14" w:rsidP="00FB2B14">
      <w:pPr>
        <w:spacing w:after="120"/>
        <w:contextualSpacing/>
        <w:rPr>
          <w:b/>
          <w:lang w:val="de-AT"/>
        </w:rPr>
      </w:pPr>
      <w:proofErr w:type="gramStart"/>
      <w:r w:rsidRPr="00A04FCF">
        <w:rPr>
          <w:b/>
          <w:lang w:val="de-AT"/>
        </w:rPr>
        <w:t xml:space="preserve">Ludwig Boltzmann </w:t>
      </w:r>
      <w:r w:rsidR="001F10D9">
        <w:rPr>
          <w:b/>
          <w:lang w:val="de-AT"/>
        </w:rPr>
        <w:t>Institute</w:t>
      </w:r>
      <w:proofErr w:type="gramEnd"/>
      <w:r w:rsidR="007B748B">
        <w:rPr>
          <w:b/>
          <w:lang w:val="de-AT"/>
        </w:rPr>
        <w:t xml:space="preserve"> </w:t>
      </w:r>
    </w:p>
    <w:p w14:paraId="0DADB795" w14:textId="37B4C7DF" w:rsidR="003C2962" w:rsidRDefault="00FB2B14" w:rsidP="003C2962">
      <w:pPr>
        <w:spacing w:after="120"/>
        <w:contextualSpacing/>
        <w:rPr>
          <w:lang w:val="de-AT"/>
        </w:rPr>
      </w:pPr>
      <w:r w:rsidRPr="003E553C">
        <w:rPr>
          <w:lang w:val="de-AT"/>
        </w:rPr>
        <w:t xml:space="preserve">Die LBG </w:t>
      </w:r>
      <w:r w:rsidR="00767042" w:rsidRPr="003E553C">
        <w:rPr>
          <w:lang w:val="de-AT"/>
        </w:rPr>
        <w:t xml:space="preserve">ist eine Forschungseinrichtung mit thematischen Schwerpunkten in der Medizin und den Life Sciences sowie den Geistes-, Sozial- und Kulturwissenschaften. </w:t>
      </w:r>
      <w:r w:rsidR="00767042">
        <w:rPr>
          <w:lang w:val="de-AT"/>
        </w:rPr>
        <w:t xml:space="preserve">Sie </w:t>
      </w:r>
      <w:r w:rsidRPr="0026519C">
        <w:rPr>
          <w:lang w:val="de-AT"/>
        </w:rPr>
        <w:t xml:space="preserve">entwickelt und erprobt </w:t>
      </w:r>
      <w:r>
        <w:rPr>
          <w:lang w:val="de-AT"/>
        </w:rPr>
        <w:t xml:space="preserve">in </w:t>
      </w:r>
      <w:r w:rsidRPr="0026519C">
        <w:rPr>
          <w:lang w:val="de-AT"/>
        </w:rPr>
        <w:t>Ludwig Boltzmann Institute</w:t>
      </w:r>
      <w:r>
        <w:rPr>
          <w:lang w:val="de-AT"/>
        </w:rPr>
        <w:t>n</w:t>
      </w:r>
      <w:r w:rsidRPr="0026519C">
        <w:rPr>
          <w:lang w:val="de-AT"/>
        </w:rPr>
        <w:t xml:space="preserve"> mit akademischen und anwendenden Partnern neue Formen der Zusammenarbeit zwischen der Wissenschaft und </w:t>
      </w:r>
      <w:r>
        <w:rPr>
          <w:lang w:val="de-AT"/>
        </w:rPr>
        <w:t xml:space="preserve">nicht-wissenschaftlichen </w:t>
      </w:r>
      <w:proofErr w:type="spellStart"/>
      <w:proofErr w:type="gramStart"/>
      <w:r>
        <w:rPr>
          <w:lang w:val="de-AT"/>
        </w:rPr>
        <w:t>Akteur:i</w:t>
      </w:r>
      <w:r w:rsidRPr="0026519C">
        <w:rPr>
          <w:lang w:val="de-AT"/>
        </w:rPr>
        <w:t>nnen</w:t>
      </w:r>
      <w:proofErr w:type="spellEnd"/>
      <w:proofErr w:type="gramEnd"/>
      <w:r w:rsidRPr="0026519C">
        <w:rPr>
          <w:lang w:val="de-AT"/>
        </w:rPr>
        <w:t xml:space="preserve"> wie Unternehmen, dem öffentlichen Sektor und der Zivilgesellschaft. </w:t>
      </w:r>
      <w:r w:rsidR="003C2962">
        <w:rPr>
          <w:lang w:val="de-AT"/>
        </w:rPr>
        <w:t xml:space="preserve"> </w:t>
      </w:r>
    </w:p>
    <w:p w14:paraId="3FDF319E" w14:textId="77777777" w:rsidR="008D4028" w:rsidRDefault="0076491A" w:rsidP="00762B4F">
      <w:pPr>
        <w:spacing w:after="120"/>
        <w:contextualSpacing/>
        <w:rPr>
          <w:lang w:val="de-DE"/>
        </w:rPr>
      </w:pPr>
      <w:r>
        <w:rPr>
          <w:lang w:val="de-DE"/>
        </w:rPr>
        <w:t>Zukünftige</w:t>
      </w:r>
      <w:r w:rsidR="005B769C">
        <w:rPr>
          <w:lang w:val="de-DE"/>
        </w:rPr>
        <w:t xml:space="preserve"> Institute werden in einer Pilotphase m</w:t>
      </w:r>
      <w:r w:rsidR="00122CFD">
        <w:rPr>
          <w:lang w:val="de-DE"/>
        </w:rPr>
        <w:t xml:space="preserve">it </w:t>
      </w:r>
      <w:r w:rsidR="00BC14E8">
        <w:rPr>
          <w:lang w:val="de-DE"/>
        </w:rPr>
        <w:t>Blick</w:t>
      </w:r>
      <w:r w:rsidR="00097628">
        <w:rPr>
          <w:lang w:val="de-DE"/>
        </w:rPr>
        <w:t xml:space="preserve"> auf innovative Forschung im Bereich Medizin und Gesundheitswissenschaften </w:t>
      </w:r>
      <w:r w:rsidR="005B769C">
        <w:rPr>
          <w:lang w:val="de-DE"/>
        </w:rPr>
        <w:t>gegründet</w:t>
      </w:r>
      <w:r w:rsidR="00D476A6">
        <w:rPr>
          <w:lang w:val="de-DE"/>
        </w:rPr>
        <w:t xml:space="preserve">. </w:t>
      </w:r>
      <w:r w:rsidR="00122CFD" w:rsidRPr="00122CFD">
        <w:rPr>
          <w:lang w:val="de-DE"/>
        </w:rPr>
        <w:t xml:space="preserve">Unter dem Motto „People, not Projects“ </w:t>
      </w:r>
      <w:r w:rsidR="00097628">
        <w:rPr>
          <w:lang w:val="de-DE"/>
        </w:rPr>
        <w:t xml:space="preserve">wird </w:t>
      </w:r>
      <w:r w:rsidR="003E3523">
        <w:rPr>
          <w:lang w:val="de-DE"/>
        </w:rPr>
        <w:t xml:space="preserve">stärker auf </w:t>
      </w:r>
      <w:r w:rsidR="00097628">
        <w:rPr>
          <w:lang w:val="de-DE"/>
        </w:rPr>
        <w:t xml:space="preserve">exzellente </w:t>
      </w:r>
      <w:proofErr w:type="spellStart"/>
      <w:proofErr w:type="gramStart"/>
      <w:r w:rsidR="00EA1D54">
        <w:rPr>
          <w:lang w:val="de-DE"/>
        </w:rPr>
        <w:t>Wissenschaftler:innen</w:t>
      </w:r>
      <w:proofErr w:type="spellEnd"/>
      <w:proofErr w:type="gramEnd"/>
      <w:r w:rsidR="00EA1D54">
        <w:rPr>
          <w:lang w:val="de-DE"/>
        </w:rPr>
        <w:t xml:space="preserve"> (</w:t>
      </w:r>
      <w:proofErr w:type="spellStart"/>
      <w:r w:rsidR="00097628">
        <w:rPr>
          <w:lang w:val="de-DE"/>
        </w:rPr>
        <w:t>Principal</w:t>
      </w:r>
      <w:proofErr w:type="spellEnd"/>
      <w:r w:rsidR="00097628">
        <w:rPr>
          <w:lang w:val="de-DE"/>
        </w:rPr>
        <w:t xml:space="preserve"> </w:t>
      </w:r>
      <w:proofErr w:type="spellStart"/>
      <w:r w:rsidR="00097628">
        <w:rPr>
          <w:lang w:val="de-DE"/>
        </w:rPr>
        <w:t>Investigators</w:t>
      </w:r>
      <w:proofErr w:type="spellEnd"/>
      <w:r w:rsidR="00EA1D54">
        <w:rPr>
          <w:lang w:val="de-DE"/>
        </w:rPr>
        <w:t>)</w:t>
      </w:r>
      <w:r w:rsidR="00097628">
        <w:rPr>
          <w:lang w:val="de-DE"/>
        </w:rPr>
        <w:t xml:space="preserve"> fokussiert</w:t>
      </w:r>
      <w:r w:rsidR="003E3523">
        <w:rPr>
          <w:lang w:val="de-DE"/>
        </w:rPr>
        <w:t xml:space="preserve">, die </w:t>
      </w:r>
      <w:r w:rsidR="007E7659">
        <w:rPr>
          <w:lang w:val="de-DE"/>
        </w:rPr>
        <w:t>neue Fragestellungen her</w:t>
      </w:r>
      <w:r w:rsidR="0017114F">
        <w:rPr>
          <w:lang w:val="de-DE"/>
        </w:rPr>
        <w:t>vorbringen</w:t>
      </w:r>
      <w:r w:rsidR="007E7659">
        <w:rPr>
          <w:lang w:val="de-DE"/>
        </w:rPr>
        <w:t xml:space="preserve"> und Forschung auf einem anhaltend hohen Level </w:t>
      </w:r>
      <w:r w:rsidR="0017114F">
        <w:rPr>
          <w:lang w:val="de-DE"/>
        </w:rPr>
        <w:t>ausführen</w:t>
      </w:r>
      <w:r w:rsidR="007E7659">
        <w:rPr>
          <w:lang w:val="de-DE"/>
        </w:rPr>
        <w:t xml:space="preserve">. </w:t>
      </w:r>
      <w:r w:rsidR="00097628">
        <w:rPr>
          <w:lang w:val="de-DE"/>
        </w:rPr>
        <w:t xml:space="preserve">Die so entstehenden kreativen Freiräume sollen translationale Spitzenforschung auf allerhöchstem Niveau ermöglichen. </w:t>
      </w:r>
      <w:r w:rsidR="003E3523">
        <w:rPr>
          <w:lang w:val="de-DE"/>
        </w:rPr>
        <w:t xml:space="preserve">Auch die Zusammenarbeit mit Hostinstitutionen und Partnerorganisationen wird intensiviert und auf eine neue </w:t>
      </w:r>
      <w:r w:rsidR="007A346B">
        <w:rPr>
          <w:lang w:val="de-DE"/>
        </w:rPr>
        <w:t>Basis gestellt</w:t>
      </w:r>
      <w:r w:rsidR="003E3523">
        <w:rPr>
          <w:lang w:val="de-DE"/>
        </w:rPr>
        <w:t xml:space="preserve">. </w:t>
      </w:r>
    </w:p>
    <w:p w14:paraId="1DF41F5A" w14:textId="19D29D09" w:rsidR="00762B4F" w:rsidRPr="008D4028" w:rsidRDefault="0017114F" w:rsidP="00762B4F">
      <w:pPr>
        <w:spacing w:after="120"/>
        <w:contextualSpacing/>
        <w:rPr>
          <w:lang w:val="de-DE"/>
        </w:rPr>
      </w:pPr>
      <w:r>
        <w:rPr>
          <w:b/>
          <w:lang w:val="de-AT"/>
        </w:rPr>
        <w:lastRenderedPageBreak/>
        <w:t>Klinische Forschungsgruppen</w:t>
      </w:r>
      <w:r w:rsidR="00097628" w:rsidRPr="00097628">
        <w:rPr>
          <w:b/>
          <w:lang w:val="de-AT"/>
        </w:rPr>
        <w:t xml:space="preserve"> (KFG)</w:t>
      </w:r>
      <w:r>
        <w:rPr>
          <w:b/>
          <w:lang w:val="de-AT"/>
        </w:rPr>
        <w:t xml:space="preserve"> </w:t>
      </w:r>
    </w:p>
    <w:p w14:paraId="3A6D7A17" w14:textId="1F0BD1ED" w:rsidR="00097628" w:rsidRPr="00097628" w:rsidRDefault="00762B4F" w:rsidP="0076491A">
      <w:pPr>
        <w:rPr>
          <w:lang w:val="de-AT"/>
        </w:rPr>
      </w:pPr>
      <w:r>
        <w:rPr>
          <w:lang w:val="de-AT"/>
        </w:rPr>
        <w:t xml:space="preserve">Mit dem neuen </w:t>
      </w:r>
      <w:r w:rsidRPr="00097628">
        <w:rPr>
          <w:lang w:val="de-AT"/>
        </w:rPr>
        <w:t xml:space="preserve">Förderprogramm </w:t>
      </w:r>
      <w:r>
        <w:rPr>
          <w:lang w:val="de-AT"/>
        </w:rPr>
        <w:t>„Klinischen Forschungsgruppen“ wird</w:t>
      </w:r>
      <w:r w:rsidR="003E3523">
        <w:rPr>
          <w:lang w:val="de-AT"/>
        </w:rPr>
        <w:t xml:space="preserve"> </w:t>
      </w:r>
      <w:r w:rsidR="00097628" w:rsidRPr="00097628">
        <w:rPr>
          <w:lang w:val="de-AT"/>
        </w:rPr>
        <w:t xml:space="preserve">die </w:t>
      </w:r>
      <w:r w:rsidR="00F0362A">
        <w:rPr>
          <w:lang w:val="de-AT"/>
        </w:rPr>
        <w:t xml:space="preserve">LBG </w:t>
      </w:r>
      <w:r w:rsidR="00097628" w:rsidRPr="00097628">
        <w:rPr>
          <w:lang w:val="de-AT"/>
        </w:rPr>
        <w:t>klinische Forschung an Medizinischen Universitäten in Österreich vorantr</w:t>
      </w:r>
      <w:r w:rsidR="003E3523">
        <w:rPr>
          <w:lang w:val="de-AT"/>
        </w:rPr>
        <w:t>eiben</w:t>
      </w:r>
      <w:r w:rsidR="00097628" w:rsidRPr="00097628">
        <w:rPr>
          <w:lang w:val="de-AT"/>
        </w:rPr>
        <w:t>. Der Fokus liegt dabei auf „</w:t>
      </w:r>
      <w:proofErr w:type="spellStart"/>
      <w:r w:rsidR="00097628" w:rsidRPr="00097628">
        <w:rPr>
          <w:lang w:val="de-AT"/>
        </w:rPr>
        <w:t>investigator</w:t>
      </w:r>
      <w:proofErr w:type="spellEnd"/>
      <w:r w:rsidR="00097628" w:rsidRPr="00097628">
        <w:rPr>
          <w:lang w:val="de-AT"/>
        </w:rPr>
        <w:t xml:space="preserve"> </w:t>
      </w:r>
      <w:proofErr w:type="spellStart"/>
      <w:r w:rsidR="00097628" w:rsidRPr="00097628">
        <w:rPr>
          <w:lang w:val="de-AT"/>
        </w:rPr>
        <w:t>driven</w:t>
      </w:r>
      <w:proofErr w:type="spellEnd"/>
      <w:r w:rsidR="00097628" w:rsidRPr="00097628">
        <w:rPr>
          <w:lang w:val="de-AT"/>
        </w:rPr>
        <w:t xml:space="preserve"> </w:t>
      </w:r>
      <w:proofErr w:type="spellStart"/>
      <w:r w:rsidR="00097628" w:rsidRPr="00097628">
        <w:rPr>
          <w:lang w:val="de-AT"/>
        </w:rPr>
        <w:t>clinical</w:t>
      </w:r>
      <w:proofErr w:type="spellEnd"/>
      <w:r w:rsidR="00097628" w:rsidRPr="00097628">
        <w:rPr>
          <w:lang w:val="de-AT"/>
        </w:rPr>
        <w:t xml:space="preserve"> </w:t>
      </w:r>
      <w:proofErr w:type="spellStart"/>
      <w:r w:rsidR="00097628" w:rsidRPr="00097628">
        <w:rPr>
          <w:lang w:val="de-AT"/>
        </w:rPr>
        <w:t>studies</w:t>
      </w:r>
      <w:proofErr w:type="spellEnd"/>
      <w:r w:rsidR="00097628" w:rsidRPr="00097628">
        <w:rPr>
          <w:lang w:val="de-AT"/>
        </w:rPr>
        <w:t>“ zur Behandlung vo</w:t>
      </w:r>
      <w:r w:rsidR="00E81FC6">
        <w:rPr>
          <w:lang w:val="de-AT"/>
        </w:rPr>
        <w:t xml:space="preserve">n Krankheiten und/oder </w:t>
      </w:r>
      <w:proofErr w:type="spellStart"/>
      <w:proofErr w:type="gramStart"/>
      <w:r w:rsidR="00E81FC6">
        <w:rPr>
          <w:lang w:val="de-AT"/>
        </w:rPr>
        <w:t>patient:innen</w:t>
      </w:r>
      <w:r w:rsidR="00097628" w:rsidRPr="00097628">
        <w:rPr>
          <w:lang w:val="de-AT"/>
        </w:rPr>
        <w:t>orientierter</w:t>
      </w:r>
      <w:proofErr w:type="spellEnd"/>
      <w:proofErr w:type="gramEnd"/>
      <w:r w:rsidR="00097628" w:rsidRPr="00097628">
        <w:rPr>
          <w:lang w:val="de-AT"/>
        </w:rPr>
        <w:t xml:space="preserve"> klinischer und </w:t>
      </w:r>
      <w:proofErr w:type="spellStart"/>
      <w:r w:rsidR="00097628" w:rsidRPr="00097628">
        <w:rPr>
          <w:lang w:val="de-AT"/>
        </w:rPr>
        <w:t>translationaler</w:t>
      </w:r>
      <w:proofErr w:type="spellEnd"/>
      <w:r w:rsidR="00097628" w:rsidRPr="00097628">
        <w:rPr>
          <w:lang w:val="de-AT"/>
        </w:rPr>
        <w:t xml:space="preserve"> Forschung (</w:t>
      </w:r>
      <w:proofErr w:type="spellStart"/>
      <w:r w:rsidR="00097628" w:rsidRPr="00097628">
        <w:rPr>
          <w:lang w:val="de-AT"/>
        </w:rPr>
        <w:t>bench-to-bedside</w:t>
      </w:r>
      <w:proofErr w:type="spellEnd"/>
      <w:r w:rsidR="00097628" w:rsidRPr="00097628">
        <w:rPr>
          <w:lang w:val="de-AT"/>
        </w:rPr>
        <w:t xml:space="preserve">). </w:t>
      </w:r>
      <w:r>
        <w:rPr>
          <w:lang w:val="de-AT"/>
        </w:rPr>
        <w:t>Der</w:t>
      </w:r>
      <w:r w:rsidR="00097628" w:rsidRPr="00097628">
        <w:rPr>
          <w:lang w:val="de-AT"/>
        </w:rPr>
        <w:t xml:space="preserve"> klinisch-</w:t>
      </w:r>
      <w:r w:rsidR="00097628" w:rsidRPr="00961DBF">
        <w:rPr>
          <w:lang w:val="de-AT"/>
        </w:rPr>
        <w:t>wissenschaftliche Nachwuchs</w:t>
      </w:r>
      <w:r w:rsidR="003D49E6" w:rsidRPr="00961DBF">
        <w:rPr>
          <w:lang w:val="de-AT"/>
        </w:rPr>
        <w:t xml:space="preserve"> wird darüber hinaus </w:t>
      </w:r>
      <w:r w:rsidR="00097628" w:rsidRPr="00961DBF">
        <w:rPr>
          <w:lang w:val="de-AT"/>
        </w:rPr>
        <w:t xml:space="preserve">durch Trainings- und Qualifizierungsmaßnahmen </w:t>
      </w:r>
      <w:r w:rsidRPr="00961DBF">
        <w:rPr>
          <w:lang w:val="de-AT"/>
        </w:rPr>
        <w:t>gezielt gefördert</w:t>
      </w:r>
      <w:r w:rsidR="000B3E22" w:rsidRPr="00961DBF">
        <w:rPr>
          <w:lang w:val="de-AT"/>
        </w:rPr>
        <w:t xml:space="preserve">, </w:t>
      </w:r>
      <w:r w:rsidR="003D49E6" w:rsidRPr="00961DBF">
        <w:rPr>
          <w:lang w:val="de-AT"/>
        </w:rPr>
        <w:t>um die Voraussetzungen für spätere Führungspositionen zu optimieren.</w:t>
      </w:r>
      <w:r w:rsidR="000A5CC9">
        <w:rPr>
          <w:lang w:val="de-AT"/>
        </w:rPr>
        <w:t xml:space="preserve"> </w:t>
      </w:r>
    </w:p>
    <w:p w14:paraId="671B0BB2" w14:textId="2D86F8FB" w:rsidR="000B2CDE" w:rsidRDefault="00204CC9" w:rsidP="005C1861">
      <w:pPr>
        <w:jc w:val="left"/>
      </w:pPr>
      <w:r w:rsidRPr="00204CC9">
        <w:rPr>
          <w:rFonts w:ascii="Arial" w:hAnsi="Arial" w:cs="Arial"/>
          <w:color w:val="000000"/>
          <w:sz w:val="20"/>
          <w:szCs w:val="20"/>
          <w:shd w:val="clear" w:color="auto" w:fill="FAFAFA"/>
          <w:lang w:val="de-AT"/>
        </w:rPr>
        <w:t>Den Text der Leistungsvereinbarung finden Sie hier: </w:t>
      </w:r>
      <w:hyperlink r:id="rId7" w:tgtFrame="_blank" w:history="1">
        <w:r w:rsidRPr="00204CC9">
          <w:rPr>
            <w:rStyle w:val="Hyperlink"/>
            <w:rFonts w:ascii="Arial" w:hAnsi="Arial" w:cs="Arial"/>
            <w:color w:val="555F69"/>
            <w:sz w:val="20"/>
            <w:szCs w:val="20"/>
            <w:shd w:val="clear" w:color="auto" w:fill="FAFAFA"/>
            <w:lang w:val="de-AT"/>
          </w:rPr>
          <w:t>https://lbg.ac.at/news/lbg-und-bmbwf-unterzeichnen-erstmals-leistungsvereinbarung/</w:t>
        </w:r>
      </w:hyperlink>
    </w:p>
    <w:p w14:paraId="2E0A9205" w14:textId="77777777" w:rsidR="00204CC9" w:rsidRPr="007D7C88" w:rsidRDefault="00204CC9" w:rsidP="005C1861">
      <w:pPr>
        <w:jc w:val="left"/>
        <w:rPr>
          <w:rFonts w:cs="Calibri"/>
          <w:b/>
          <w:lang w:val="de-AT"/>
        </w:rPr>
      </w:pPr>
    </w:p>
    <w:p w14:paraId="74E11EE2" w14:textId="239D5D8F" w:rsidR="005C1861" w:rsidRPr="007D7C88" w:rsidRDefault="005C1861" w:rsidP="00097628">
      <w:pPr>
        <w:jc w:val="left"/>
        <w:rPr>
          <w:rFonts w:cs="Calibri"/>
          <w:b/>
          <w:lang w:val="de-AT"/>
        </w:rPr>
      </w:pPr>
      <w:r w:rsidRPr="007D7C88">
        <w:rPr>
          <w:rFonts w:cs="Calibri"/>
          <w:b/>
          <w:lang w:val="de-AT"/>
        </w:rPr>
        <w:t xml:space="preserve">Rückfragen </w:t>
      </w:r>
    </w:p>
    <w:p w14:paraId="7639771F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Laura Heller, MA</w:t>
      </w:r>
      <w:bookmarkStart w:id="0" w:name="_GoBack"/>
      <w:bookmarkEnd w:id="0"/>
    </w:p>
    <w:p w14:paraId="159BC68B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Ludwig Boltzmann Gesellschaft</w:t>
      </w:r>
    </w:p>
    <w:p w14:paraId="141C73BA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Öffentlichkeitsarbeit</w:t>
      </w:r>
    </w:p>
    <w:p w14:paraId="22906703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Nußdorfer Straße 64, 1090 Wien</w:t>
      </w:r>
    </w:p>
    <w:p w14:paraId="18CC99A9" w14:textId="0619BD5A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r w:rsidRPr="00097628">
        <w:rPr>
          <w:rFonts w:asciiTheme="minorHAnsi" w:eastAsiaTheme="minorHAnsi" w:hAnsiTheme="minorHAnsi" w:cstheme="minorHAnsi"/>
          <w:lang w:val="de-AT"/>
        </w:rPr>
        <w:t>+43</w:t>
      </w:r>
      <w:r>
        <w:rPr>
          <w:rFonts w:asciiTheme="minorHAnsi" w:eastAsiaTheme="minorHAnsi" w:hAnsiTheme="minorHAnsi" w:cstheme="minorHAnsi"/>
          <w:lang w:val="de-AT"/>
        </w:rPr>
        <w:t> 676 50 04 962</w:t>
      </w:r>
    </w:p>
    <w:p w14:paraId="7C2FAB61" w14:textId="1F1AF3EE" w:rsidR="00097628" w:rsidRPr="00097628" w:rsidRDefault="00204CC9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  <w:hyperlink r:id="rId8" w:history="1">
        <w:r w:rsidR="00097628" w:rsidRPr="00C90D15">
          <w:rPr>
            <w:rStyle w:val="Hyperlink"/>
            <w:rFonts w:asciiTheme="minorHAnsi" w:eastAsiaTheme="minorHAnsi" w:hAnsiTheme="minorHAnsi" w:cstheme="minorHAnsi"/>
            <w:lang w:val="de-AT"/>
          </w:rPr>
          <w:t>laura.heller@lbg.ac.at</w:t>
        </w:r>
      </w:hyperlink>
      <w:r w:rsidR="00097628">
        <w:rPr>
          <w:rFonts w:asciiTheme="minorHAnsi" w:eastAsiaTheme="minorHAnsi" w:hAnsiTheme="minorHAnsi" w:cstheme="minorHAnsi"/>
          <w:lang w:val="de-AT"/>
        </w:rPr>
        <w:t xml:space="preserve"> </w:t>
      </w:r>
      <w:r w:rsidR="00097628" w:rsidRPr="00097628">
        <w:rPr>
          <w:rFonts w:asciiTheme="minorHAnsi" w:eastAsiaTheme="minorHAnsi" w:hAnsiTheme="minorHAnsi" w:cstheme="minorHAnsi"/>
          <w:lang w:val="de-AT"/>
        </w:rPr>
        <w:t xml:space="preserve">    </w:t>
      </w:r>
    </w:p>
    <w:p w14:paraId="7256E096" w14:textId="771010B5" w:rsidR="009C4205" w:rsidRPr="00DE454C" w:rsidRDefault="00204CC9" w:rsidP="00097628">
      <w:pPr>
        <w:spacing w:after="0"/>
        <w:rPr>
          <w:rFonts w:asciiTheme="minorHAnsi" w:eastAsiaTheme="minorHAnsi" w:hAnsiTheme="minorHAnsi" w:cstheme="minorHAnsi"/>
        </w:rPr>
      </w:pPr>
      <w:hyperlink r:id="rId9" w:history="1">
        <w:r w:rsidR="00097628" w:rsidRPr="00DE454C">
          <w:rPr>
            <w:rStyle w:val="Hyperlink"/>
            <w:rFonts w:asciiTheme="minorHAnsi" w:eastAsiaTheme="minorHAnsi" w:hAnsiTheme="minorHAnsi" w:cstheme="minorHAnsi"/>
          </w:rPr>
          <w:t>www.lbg.ac.at</w:t>
        </w:r>
      </w:hyperlink>
    </w:p>
    <w:p w14:paraId="5E97B955" w14:textId="24FF341E" w:rsidR="00097628" w:rsidRPr="00DE454C" w:rsidRDefault="00097628" w:rsidP="00097628">
      <w:pPr>
        <w:spacing w:after="0"/>
        <w:rPr>
          <w:rFonts w:asciiTheme="minorHAnsi" w:eastAsiaTheme="minorHAnsi" w:hAnsiTheme="minorHAnsi" w:cstheme="minorHAnsi"/>
        </w:rPr>
      </w:pPr>
    </w:p>
    <w:p w14:paraId="5F2A1C65" w14:textId="23D1B3CE" w:rsidR="00097628" w:rsidRPr="00DE454C" w:rsidRDefault="00097628" w:rsidP="00097628">
      <w:pPr>
        <w:spacing w:after="0"/>
        <w:jc w:val="left"/>
        <w:rPr>
          <w:rFonts w:cs="Calibri"/>
          <w:bCs/>
          <w:color w:val="000000"/>
          <w:lang w:eastAsia="de-AT"/>
        </w:rPr>
      </w:pPr>
      <w:r w:rsidRPr="00DE454C">
        <w:rPr>
          <w:rFonts w:cs="Calibri"/>
          <w:bCs/>
          <w:color w:val="000000"/>
          <w:lang w:eastAsia="de-AT"/>
        </w:rPr>
        <w:t>Andreas Jilly</w:t>
      </w:r>
    </w:p>
    <w:p w14:paraId="3EEBA36D" w14:textId="12D019FC" w:rsidR="00097628" w:rsidRPr="00097628" w:rsidRDefault="00097628" w:rsidP="00097628">
      <w:pPr>
        <w:spacing w:after="0"/>
        <w:jc w:val="left"/>
        <w:rPr>
          <w:rFonts w:cs="Calibri"/>
          <w:lang w:val="de-AT" w:eastAsia="de-AT"/>
        </w:rPr>
      </w:pPr>
      <w:r w:rsidRPr="00097628">
        <w:rPr>
          <w:rFonts w:cs="Calibri"/>
          <w:lang w:val="de-AT" w:eastAsia="de-AT"/>
        </w:rPr>
        <w:t>Bundesministerium für Bildung, Wissenschaft und Forschung</w:t>
      </w:r>
    </w:p>
    <w:p w14:paraId="536C01A8" w14:textId="37654002" w:rsidR="00097628" w:rsidRDefault="00097628" w:rsidP="00097628">
      <w:pPr>
        <w:spacing w:after="0"/>
        <w:jc w:val="left"/>
        <w:rPr>
          <w:rFonts w:cs="Calibri"/>
          <w:lang w:val="de-AT" w:eastAsia="de-AT"/>
        </w:rPr>
      </w:pPr>
      <w:r w:rsidRPr="00097628">
        <w:rPr>
          <w:rFonts w:cs="Calibri"/>
          <w:color w:val="000000"/>
          <w:lang w:val="de-DE" w:eastAsia="de-AT"/>
        </w:rPr>
        <w:t>Pressesprecher</w:t>
      </w:r>
      <w:r w:rsidRPr="00097628">
        <w:rPr>
          <w:rFonts w:cs="Calibri"/>
          <w:lang w:val="de-AT" w:eastAsia="de-AT"/>
        </w:rPr>
        <w:t xml:space="preserve"> des Bundesministers</w:t>
      </w:r>
    </w:p>
    <w:p w14:paraId="42557062" w14:textId="77FD2616" w:rsidR="00097628" w:rsidRPr="00097628" w:rsidRDefault="00097628" w:rsidP="00097628">
      <w:pPr>
        <w:spacing w:after="0"/>
        <w:jc w:val="left"/>
        <w:rPr>
          <w:rFonts w:cs="Calibri"/>
          <w:lang w:val="de-AT" w:eastAsia="de-AT"/>
        </w:rPr>
      </w:pPr>
      <w:proofErr w:type="spellStart"/>
      <w:r w:rsidRPr="00097628">
        <w:rPr>
          <w:rFonts w:cs="Calibri"/>
          <w:color w:val="000000"/>
          <w:lang w:val="de-DE" w:eastAsia="de-AT"/>
        </w:rPr>
        <w:t>Minoritenplatz</w:t>
      </w:r>
      <w:proofErr w:type="spellEnd"/>
      <w:r w:rsidRPr="00097628">
        <w:rPr>
          <w:rFonts w:cs="Calibri"/>
          <w:color w:val="000000"/>
          <w:lang w:val="de-DE" w:eastAsia="de-AT"/>
        </w:rPr>
        <w:t xml:space="preserve"> 5, 1010 Wien, Österreich</w:t>
      </w:r>
    </w:p>
    <w:p w14:paraId="71886F42" w14:textId="77777777" w:rsidR="00097628" w:rsidRPr="00097628" w:rsidRDefault="00097628" w:rsidP="00097628">
      <w:pPr>
        <w:spacing w:after="0"/>
        <w:jc w:val="left"/>
        <w:rPr>
          <w:rFonts w:cs="Calibri"/>
          <w:lang w:val="de-AT" w:eastAsia="de-AT"/>
        </w:rPr>
      </w:pPr>
      <w:r w:rsidRPr="00097628">
        <w:rPr>
          <w:rFonts w:cs="Calibri"/>
          <w:color w:val="000000"/>
          <w:lang w:val="de-DE" w:eastAsia="de-AT"/>
        </w:rPr>
        <w:t>+43 664 85 14 042</w:t>
      </w:r>
    </w:p>
    <w:p w14:paraId="03D67980" w14:textId="5179D42D" w:rsidR="00097628" w:rsidRPr="00097628" w:rsidRDefault="00204CC9" w:rsidP="00097628">
      <w:pPr>
        <w:spacing w:after="0"/>
        <w:jc w:val="left"/>
        <w:rPr>
          <w:rFonts w:cs="Calibri"/>
          <w:lang w:val="de-AT" w:eastAsia="de-AT"/>
        </w:rPr>
      </w:pPr>
      <w:hyperlink r:id="rId10" w:history="1">
        <w:r w:rsidR="00097628" w:rsidRPr="00C90D15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andreas.jilly@bmbwf.gv.at</w:t>
        </w:r>
      </w:hyperlink>
      <w:r w:rsidR="00097628">
        <w:rPr>
          <w:rFonts w:ascii="Arial" w:hAnsi="Arial" w:cs="Arial"/>
          <w:color w:val="1C1C1C"/>
          <w:sz w:val="20"/>
          <w:szCs w:val="20"/>
          <w:u w:val="single"/>
          <w:lang w:val="de-AT" w:eastAsia="de-AT"/>
        </w:rPr>
        <w:t xml:space="preserve"> </w:t>
      </w:r>
      <w:r w:rsidR="00097628" w:rsidRPr="00097628">
        <w:rPr>
          <w:rFonts w:ascii="Arial" w:hAnsi="Arial" w:cs="Arial"/>
          <w:sz w:val="20"/>
          <w:szCs w:val="20"/>
          <w:lang w:val="de-AT" w:eastAsia="de-AT"/>
        </w:rPr>
        <w:br/>
      </w:r>
      <w:hyperlink r:id="rId11" w:history="1">
        <w:r w:rsidR="00097628" w:rsidRPr="00C90D15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www.bmbwf.gv.at</w:t>
        </w:r>
      </w:hyperlink>
      <w:r w:rsidR="00097628">
        <w:rPr>
          <w:rFonts w:ascii="Arial" w:hAnsi="Arial" w:cs="Arial"/>
          <w:color w:val="1C1C1C"/>
          <w:sz w:val="20"/>
          <w:szCs w:val="20"/>
          <w:u w:val="single"/>
          <w:lang w:val="de-AT" w:eastAsia="de-AT"/>
        </w:rPr>
        <w:t xml:space="preserve"> </w:t>
      </w:r>
    </w:p>
    <w:p w14:paraId="6D7F3731" w14:textId="77777777" w:rsidR="00097628" w:rsidRPr="00097628" w:rsidRDefault="00097628" w:rsidP="00097628">
      <w:pPr>
        <w:spacing w:after="0"/>
        <w:rPr>
          <w:rFonts w:asciiTheme="minorHAnsi" w:eastAsiaTheme="minorHAnsi" w:hAnsiTheme="minorHAnsi" w:cstheme="minorHAnsi"/>
          <w:lang w:val="de-AT"/>
        </w:rPr>
      </w:pPr>
    </w:p>
    <w:sectPr w:rsidR="00097628" w:rsidRPr="00097628" w:rsidSect="005C1861">
      <w:headerReference w:type="default" r:id="rId12"/>
      <w:footerReference w:type="even" r:id="rId13"/>
      <w:footerReference w:type="default" r:id="rId14"/>
      <w:headerReference w:type="first" r:id="rId15"/>
      <w:pgSz w:w="11900" w:h="16820"/>
      <w:pgMar w:top="2552" w:right="1418" w:bottom="851" w:left="1418" w:header="73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DB877" w14:textId="77777777" w:rsidR="004C3B31" w:rsidRDefault="004C3B31">
      <w:pPr>
        <w:spacing w:after="0" w:line="240" w:lineRule="auto"/>
      </w:pPr>
      <w:r>
        <w:separator/>
      </w:r>
    </w:p>
  </w:endnote>
  <w:endnote w:type="continuationSeparator" w:id="0">
    <w:p w14:paraId="37FABCE7" w14:textId="77777777" w:rsidR="004C3B31" w:rsidRDefault="004C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12C52" w14:textId="77777777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56DFBF7" w14:textId="77777777" w:rsidR="00192C97" w:rsidRDefault="00204CC9" w:rsidP="005666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75B54" w14:textId="5661D9F1" w:rsidR="00192C97" w:rsidRDefault="001F4B54" w:rsidP="00AB7B9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04CC9">
      <w:rPr>
        <w:rStyle w:val="Seitenzahl"/>
        <w:noProof/>
      </w:rPr>
      <w:t>1</w:t>
    </w:r>
    <w:r>
      <w:rPr>
        <w:rStyle w:val="Seitenzahl"/>
      </w:rPr>
      <w:fldChar w:fldCharType="end"/>
    </w:r>
  </w:p>
  <w:p w14:paraId="65D7813A" w14:textId="77777777" w:rsidR="00192C97" w:rsidRPr="007164D4" w:rsidRDefault="00204CC9" w:rsidP="00566624">
    <w:pPr>
      <w:ind w:right="360"/>
      <w:jc w:val="right"/>
      <w:rPr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F18AB" w14:textId="77777777" w:rsidR="004C3B31" w:rsidRDefault="004C3B31">
      <w:pPr>
        <w:spacing w:after="0" w:line="240" w:lineRule="auto"/>
      </w:pPr>
      <w:r>
        <w:separator/>
      </w:r>
    </w:p>
  </w:footnote>
  <w:footnote w:type="continuationSeparator" w:id="0">
    <w:p w14:paraId="3EE7699F" w14:textId="77777777" w:rsidR="004C3B31" w:rsidRDefault="004C3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F57CA" w14:textId="77777777" w:rsidR="00192C97" w:rsidRDefault="00204CC9" w:rsidP="00DA1FB0">
    <w:pPr>
      <w:pStyle w:val="Kopfzeile"/>
    </w:pPr>
  </w:p>
  <w:p w14:paraId="2537A4A5" w14:textId="77777777" w:rsidR="00DA1FB0" w:rsidRDefault="001F4B54" w:rsidP="00DA1FB0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14E7D07" wp14:editId="3B1F1D55">
          <wp:simplePos x="0" y="0"/>
          <wp:positionH relativeFrom="column">
            <wp:posOffset>-109855</wp:posOffset>
          </wp:positionH>
          <wp:positionV relativeFrom="page">
            <wp:posOffset>581025</wp:posOffset>
          </wp:positionV>
          <wp:extent cx="2844165" cy="457200"/>
          <wp:effectExtent l="0" t="0" r="0" b="0"/>
          <wp:wrapNone/>
          <wp:docPr id="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1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B4139F" w14:textId="77777777" w:rsidR="00DA1FB0" w:rsidRPr="00DA1FB0" w:rsidRDefault="00204CC9" w:rsidP="00DA1F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1196" w14:textId="77777777" w:rsidR="00192C97" w:rsidRDefault="001F4B54">
    <w:pPr>
      <w:pStyle w:val="Kopfzeile"/>
    </w:pPr>
    <w:r>
      <w:rPr>
        <w:noProof/>
        <w:lang w:val="de-AT" w:eastAsia="de-AT"/>
      </w:rPr>
      <w:drawing>
        <wp:anchor distT="0" distB="540385" distL="114300" distR="114300" simplePos="0" relativeHeight="251659264" behindDoc="0" locked="0" layoutInCell="1" allowOverlap="1" wp14:anchorId="33B50AAA" wp14:editId="4366F752">
          <wp:simplePos x="0" y="0"/>
          <wp:positionH relativeFrom="page">
            <wp:posOffset>1014730</wp:posOffset>
          </wp:positionH>
          <wp:positionV relativeFrom="paragraph">
            <wp:posOffset>339725</wp:posOffset>
          </wp:positionV>
          <wp:extent cx="2619375" cy="420370"/>
          <wp:effectExtent l="0" t="0" r="0" b="11430"/>
          <wp:wrapTopAndBottom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0C31"/>
    <w:multiLevelType w:val="hybridMultilevel"/>
    <w:tmpl w:val="7CB824C0"/>
    <w:lvl w:ilvl="0" w:tplc="1396ABFA">
      <w:start w:val="1"/>
      <w:numFmt w:val="bullet"/>
      <w:pStyle w:val="Auflistung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769D9"/>
    <w:multiLevelType w:val="hybridMultilevel"/>
    <w:tmpl w:val="CAA00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61"/>
    <w:rsid w:val="00013033"/>
    <w:rsid w:val="00016321"/>
    <w:rsid w:val="000263E8"/>
    <w:rsid w:val="000314CB"/>
    <w:rsid w:val="000503A4"/>
    <w:rsid w:val="00061278"/>
    <w:rsid w:val="00065D2D"/>
    <w:rsid w:val="00072901"/>
    <w:rsid w:val="000860D2"/>
    <w:rsid w:val="00096655"/>
    <w:rsid w:val="00097628"/>
    <w:rsid w:val="000A5CC9"/>
    <w:rsid w:val="000A6880"/>
    <w:rsid w:val="000B2CDE"/>
    <w:rsid w:val="000B3BA9"/>
    <w:rsid w:val="000B3E22"/>
    <w:rsid w:val="000C4334"/>
    <w:rsid w:val="00122CFD"/>
    <w:rsid w:val="001308FA"/>
    <w:rsid w:val="00133BFD"/>
    <w:rsid w:val="00137E12"/>
    <w:rsid w:val="0014080C"/>
    <w:rsid w:val="00143602"/>
    <w:rsid w:val="001635E9"/>
    <w:rsid w:val="0017114F"/>
    <w:rsid w:val="001A2767"/>
    <w:rsid w:val="001A4071"/>
    <w:rsid w:val="001A510C"/>
    <w:rsid w:val="001C3F2D"/>
    <w:rsid w:val="001F10D9"/>
    <w:rsid w:val="001F336C"/>
    <w:rsid w:val="001F4B54"/>
    <w:rsid w:val="00204CC9"/>
    <w:rsid w:val="002079BA"/>
    <w:rsid w:val="00225E1D"/>
    <w:rsid w:val="002416D5"/>
    <w:rsid w:val="0025508D"/>
    <w:rsid w:val="002644C5"/>
    <w:rsid w:val="0026519C"/>
    <w:rsid w:val="002A4F03"/>
    <w:rsid w:val="00303C86"/>
    <w:rsid w:val="00320C32"/>
    <w:rsid w:val="00351CDA"/>
    <w:rsid w:val="00353D1D"/>
    <w:rsid w:val="003563AB"/>
    <w:rsid w:val="003672A7"/>
    <w:rsid w:val="00377930"/>
    <w:rsid w:val="00393CC9"/>
    <w:rsid w:val="003A3571"/>
    <w:rsid w:val="003C2962"/>
    <w:rsid w:val="003C3EF3"/>
    <w:rsid w:val="003D49E6"/>
    <w:rsid w:val="003D6D5D"/>
    <w:rsid w:val="003E2F88"/>
    <w:rsid w:val="003E3523"/>
    <w:rsid w:val="003E553C"/>
    <w:rsid w:val="003F44EF"/>
    <w:rsid w:val="00413A15"/>
    <w:rsid w:val="00432CFC"/>
    <w:rsid w:val="004413D1"/>
    <w:rsid w:val="0044154A"/>
    <w:rsid w:val="00444E6B"/>
    <w:rsid w:val="00447116"/>
    <w:rsid w:val="0045147A"/>
    <w:rsid w:val="0045601D"/>
    <w:rsid w:val="00464F6D"/>
    <w:rsid w:val="00467A19"/>
    <w:rsid w:val="0047590A"/>
    <w:rsid w:val="00477A64"/>
    <w:rsid w:val="0049697B"/>
    <w:rsid w:val="004A4CC3"/>
    <w:rsid w:val="004B0DD2"/>
    <w:rsid w:val="004B4861"/>
    <w:rsid w:val="004B4A98"/>
    <w:rsid w:val="004B4CD5"/>
    <w:rsid w:val="004C3B31"/>
    <w:rsid w:val="004D2608"/>
    <w:rsid w:val="004D39C9"/>
    <w:rsid w:val="004E02C7"/>
    <w:rsid w:val="004E0E82"/>
    <w:rsid w:val="004F2C35"/>
    <w:rsid w:val="00532251"/>
    <w:rsid w:val="005B769C"/>
    <w:rsid w:val="005C0427"/>
    <w:rsid w:val="005C1861"/>
    <w:rsid w:val="005F523D"/>
    <w:rsid w:val="00603BAE"/>
    <w:rsid w:val="00640301"/>
    <w:rsid w:val="00660C08"/>
    <w:rsid w:val="0066512C"/>
    <w:rsid w:val="00682673"/>
    <w:rsid w:val="006931C4"/>
    <w:rsid w:val="00694D5D"/>
    <w:rsid w:val="006A1BC5"/>
    <w:rsid w:val="006B6596"/>
    <w:rsid w:val="006C5253"/>
    <w:rsid w:val="006C59D9"/>
    <w:rsid w:val="006C6505"/>
    <w:rsid w:val="006D122D"/>
    <w:rsid w:val="006D3ED7"/>
    <w:rsid w:val="006E4383"/>
    <w:rsid w:val="006F16FD"/>
    <w:rsid w:val="006F6069"/>
    <w:rsid w:val="00702AB8"/>
    <w:rsid w:val="00762B4F"/>
    <w:rsid w:val="00763B85"/>
    <w:rsid w:val="0076491A"/>
    <w:rsid w:val="00765D71"/>
    <w:rsid w:val="00767042"/>
    <w:rsid w:val="00782F77"/>
    <w:rsid w:val="00790D43"/>
    <w:rsid w:val="007A29F3"/>
    <w:rsid w:val="007A346B"/>
    <w:rsid w:val="007B3A12"/>
    <w:rsid w:val="007B748B"/>
    <w:rsid w:val="007C34AD"/>
    <w:rsid w:val="007D1302"/>
    <w:rsid w:val="007D7C88"/>
    <w:rsid w:val="007E7659"/>
    <w:rsid w:val="007F1FBC"/>
    <w:rsid w:val="008071BB"/>
    <w:rsid w:val="00820D56"/>
    <w:rsid w:val="0083070F"/>
    <w:rsid w:val="00835C26"/>
    <w:rsid w:val="00843653"/>
    <w:rsid w:val="008475A5"/>
    <w:rsid w:val="00852A7E"/>
    <w:rsid w:val="0086320C"/>
    <w:rsid w:val="008940DC"/>
    <w:rsid w:val="008B2B54"/>
    <w:rsid w:val="008B314F"/>
    <w:rsid w:val="008B6F9C"/>
    <w:rsid w:val="008D24C4"/>
    <w:rsid w:val="008D4028"/>
    <w:rsid w:val="008D7BDA"/>
    <w:rsid w:val="008F0042"/>
    <w:rsid w:val="008F7BBE"/>
    <w:rsid w:val="00905520"/>
    <w:rsid w:val="00906EE5"/>
    <w:rsid w:val="009241F9"/>
    <w:rsid w:val="00930A43"/>
    <w:rsid w:val="00933C7C"/>
    <w:rsid w:val="00940E3C"/>
    <w:rsid w:val="00942545"/>
    <w:rsid w:val="00946104"/>
    <w:rsid w:val="009618EF"/>
    <w:rsid w:val="00961DBF"/>
    <w:rsid w:val="00972469"/>
    <w:rsid w:val="00974C9F"/>
    <w:rsid w:val="0099168C"/>
    <w:rsid w:val="009A115A"/>
    <w:rsid w:val="009A7220"/>
    <w:rsid w:val="009C0FB5"/>
    <w:rsid w:val="009E7CBC"/>
    <w:rsid w:val="00A04FCF"/>
    <w:rsid w:val="00A0657B"/>
    <w:rsid w:val="00A405B0"/>
    <w:rsid w:val="00A62BB9"/>
    <w:rsid w:val="00A66376"/>
    <w:rsid w:val="00A66803"/>
    <w:rsid w:val="00A67E11"/>
    <w:rsid w:val="00A703FD"/>
    <w:rsid w:val="00A77E98"/>
    <w:rsid w:val="00AA2BF9"/>
    <w:rsid w:val="00AA50D8"/>
    <w:rsid w:val="00AB1FBA"/>
    <w:rsid w:val="00AC1738"/>
    <w:rsid w:val="00AE18E1"/>
    <w:rsid w:val="00AE4212"/>
    <w:rsid w:val="00AE7ACD"/>
    <w:rsid w:val="00B24FAA"/>
    <w:rsid w:val="00B25D90"/>
    <w:rsid w:val="00B333FD"/>
    <w:rsid w:val="00B36BA1"/>
    <w:rsid w:val="00B61CF6"/>
    <w:rsid w:val="00B91506"/>
    <w:rsid w:val="00BB595D"/>
    <w:rsid w:val="00BC14E8"/>
    <w:rsid w:val="00BD49D3"/>
    <w:rsid w:val="00BF4F04"/>
    <w:rsid w:val="00C0355E"/>
    <w:rsid w:val="00C20C14"/>
    <w:rsid w:val="00C338B1"/>
    <w:rsid w:val="00C35404"/>
    <w:rsid w:val="00C36E97"/>
    <w:rsid w:val="00C44913"/>
    <w:rsid w:val="00C52A0B"/>
    <w:rsid w:val="00C84373"/>
    <w:rsid w:val="00C91F6E"/>
    <w:rsid w:val="00CB0B7F"/>
    <w:rsid w:val="00CC2AAD"/>
    <w:rsid w:val="00CD7A7C"/>
    <w:rsid w:val="00D0116E"/>
    <w:rsid w:val="00D16C0E"/>
    <w:rsid w:val="00D22232"/>
    <w:rsid w:val="00D476A6"/>
    <w:rsid w:val="00D5292D"/>
    <w:rsid w:val="00D833A2"/>
    <w:rsid w:val="00D870ED"/>
    <w:rsid w:val="00D94A15"/>
    <w:rsid w:val="00DA318C"/>
    <w:rsid w:val="00DB407E"/>
    <w:rsid w:val="00DB507A"/>
    <w:rsid w:val="00DC1C1C"/>
    <w:rsid w:val="00DD71A2"/>
    <w:rsid w:val="00DE14B5"/>
    <w:rsid w:val="00DE454C"/>
    <w:rsid w:val="00E0617B"/>
    <w:rsid w:val="00E32896"/>
    <w:rsid w:val="00E456B8"/>
    <w:rsid w:val="00E726A8"/>
    <w:rsid w:val="00E805FF"/>
    <w:rsid w:val="00E81FC6"/>
    <w:rsid w:val="00E97894"/>
    <w:rsid w:val="00EA1D54"/>
    <w:rsid w:val="00EE4302"/>
    <w:rsid w:val="00EF183D"/>
    <w:rsid w:val="00EF2500"/>
    <w:rsid w:val="00EF75C8"/>
    <w:rsid w:val="00F02475"/>
    <w:rsid w:val="00F0362A"/>
    <w:rsid w:val="00F13D98"/>
    <w:rsid w:val="00F265A7"/>
    <w:rsid w:val="00F51AA2"/>
    <w:rsid w:val="00FA307C"/>
    <w:rsid w:val="00FA6186"/>
    <w:rsid w:val="00FB2B14"/>
    <w:rsid w:val="00FD6C99"/>
    <w:rsid w:val="00FE4D67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ADD47"/>
  <w15:docId w15:val="{C248BA3C-691F-4D64-B408-7D0066AF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861"/>
    <w:pPr>
      <w:spacing w:after="200" w:line="276" w:lineRule="auto"/>
      <w:jc w:val="both"/>
    </w:pPr>
    <w:rPr>
      <w:rFonts w:ascii="Calibri" w:eastAsia="Calibri" w:hAnsi="Calibri" w:cs="Times New Roman"/>
      <w:lang w:val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016321"/>
    <w:pPr>
      <w:spacing w:after="0"/>
      <w:ind w:left="426"/>
      <w:outlineLvl w:val="0"/>
    </w:pPr>
    <w:rPr>
      <w:rFonts w:eastAsiaTheme="majorEastAsia" w:cstheme="majorBidi"/>
      <w:b/>
      <w:bCs/>
      <w:caps/>
      <w:sz w:val="32"/>
      <w:szCs w:val="2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F16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04F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listung">
    <w:name w:val="Auflistung"/>
    <w:basedOn w:val="Standard"/>
    <w:autoRedefine/>
    <w:qFormat/>
    <w:rsid w:val="008D7BDA"/>
    <w:pPr>
      <w:keepLines/>
      <w:numPr>
        <w:numId w:val="3"/>
      </w:numPr>
      <w:spacing w:before="60" w:after="120" w:line="312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16321"/>
    <w:rPr>
      <w:rFonts w:eastAsiaTheme="majorEastAsia" w:cstheme="majorBidi"/>
      <w:b/>
      <w:bCs/>
      <w:caps/>
      <w:sz w:val="32"/>
      <w:szCs w:val="23"/>
    </w:rPr>
  </w:style>
  <w:style w:type="paragraph" w:customStyle="1" w:styleId="Lauftext">
    <w:name w:val="Lauftext"/>
    <w:basedOn w:val="Standard"/>
    <w:autoRedefine/>
    <w:qFormat/>
    <w:rsid w:val="00016321"/>
    <w:pPr>
      <w:spacing w:before="60" w:after="120" w:line="312" w:lineRule="auto"/>
      <w:ind w:left="284"/>
    </w:pPr>
    <w:rPr>
      <w:rFonts w:cstheme="minorHAnsi"/>
      <w:color w:val="000000" w:themeColor="text1"/>
      <w:szCs w:val="19"/>
    </w:rPr>
  </w:style>
  <w:style w:type="paragraph" w:styleId="Listenabsatz">
    <w:name w:val="List Paragraph"/>
    <w:basedOn w:val="Standard"/>
    <w:uiPriority w:val="34"/>
    <w:qFormat/>
    <w:rsid w:val="005C1861"/>
    <w:pPr>
      <w:spacing w:after="60"/>
      <w:ind w:left="720"/>
      <w:contextualSpacing/>
    </w:pPr>
    <w:rPr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C1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1861"/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5C1861"/>
    <w:rPr>
      <w:rFonts w:ascii="PT Sans" w:hAnsi="PT Sans"/>
      <w:color w:val="0000FF"/>
      <w:u w:val="single"/>
    </w:rPr>
  </w:style>
  <w:style w:type="character" w:styleId="Kommentarzeichen">
    <w:name w:val="annotation reference"/>
    <w:uiPriority w:val="99"/>
    <w:semiHidden/>
    <w:unhideWhenUsed/>
    <w:rsid w:val="005C18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C186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C1861"/>
    <w:rPr>
      <w:rFonts w:ascii="Calibri" w:eastAsia="Calibri" w:hAnsi="Calibri" w:cs="Times New Roman"/>
      <w:sz w:val="20"/>
      <w:szCs w:val="2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5C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1861"/>
    <w:rPr>
      <w:rFonts w:ascii="Calibri" w:eastAsia="Calibri" w:hAnsi="Calibri" w:cs="Times New Roman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5C18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1861"/>
    <w:rPr>
      <w:rFonts w:ascii="Segoe UI" w:eastAsia="Calibri" w:hAnsi="Segoe UI" w:cs="Segoe UI"/>
      <w:sz w:val="18"/>
      <w:szCs w:val="1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F16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StandardWeb1">
    <w:name w:val="Standard (Web)1"/>
    <w:basedOn w:val="Standard"/>
    <w:rsid w:val="00905520"/>
    <w:pPr>
      <w:suppressAutoHyphens/>
      <w:spacing w:after="0" w:line="100" w:lineRule="atLeast"/>
      <w:jc w:val="left"/>
    </w:pPr>
    <w:rPr>
      <w:rFonts w:ascii="Times New Roman" w:eastAsia="Arial Unicode MS" w:hAnsi="Times New Roman"/>
      <w:sz w:val="24"/>
      <w:szCs w:val="24"/>
      <w:lang w:val="de-DE"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04FC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eller@lbg.ac.a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bg.ac.at/news/lbg-und-bmbwf-unterzeichnen-erstmals-leistungsvereinbarung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bwf.gv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andreas.jilly@bmbwf.gv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bg.ac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614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 Boltzmann Gesellschaft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Konturek Barbara</dc:creator>
  <cp:lastModifiedBy>Heller Laura</cp:lastModifiedBy>
  <cp:revision>6</cp:revision>
  <dcterms:created xsi:type="dcterms:W3CDTF">2022-07-07T08:09:00Z</dcterms:created>
  <dcterms:modified xsi:type="dcterms:W3CDTF">2022-07-08T06:55:00Z</dcterms:modified>
</cp:coreProperties>
</file>